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6C83A" w14:textId="0B962E99" w:rsidR="00D50127" w:rsidRPr="00E53BBA" w:rsidRDefault="00D50127" w:rsidP="00D50127">
      <w:pPr>
        <w:widowControl/>
        <w:tabs>
          <w:tab w:val="right" w:pos="9630"/>
        </w:tabs>
        <w:wordWrap/>
        <w:autoSpaceDE/>
        <w:autoSpaceDN/>
        <w:jc w:val="left"/>
        <w:rPr>
          <w:rFonts w:ascii="Arial" w:hAnsi="Arial" w:cs="Arial"/>
          <w:b/>
          <w:bCs/>
          <w:sz w:val="28"/>
        </w:rPr>
      </w:pPr>
      <w:bookmarkStart w:id="0" w:name="OLE_LINK1"/>
      <w:bookmarkStart w:id="1" w:name="OLE_LINK2"/>
      <w:bookmarkStart w:id="2" w:name="OLE_LINK6"/>
      <w:bookmarkStart w:id="3" w:name="OLE_LINK7"/>
      <w:r>
        <w:rPr>
          <w:rFonts w:ascii="Arial" w:hAnsi="Arial" w:cs="Arial"/>
          <w:b/>
          <w:bCs/>
          <w:sz w:val="28"/>
        </w:rPr>
        <w:t xml:space="preserve">3GPP TSG RAN WG1 </w:t>
      </w:r>
      <w:r w:rsidRPr="00E53BBA">
        <w:rPr>
          <w:rFonts w:ascii="Arial" w:hAnsi="Arial" w:cs="Arial"/>
          <w:b/>
          <w:bCs/>
          <w:sz w:val="28"/>
        </w:rPr>
        <w:t xml:space="preserve">NB-IoT Ad-Hoc </w:t>
      </w:r>
      <w:r>
        <w:rPr>
          <w:rFonts w:ascii="Arial" w:hAnsi="Arial" w:cs="Arial"/>
          <w:b/>
          <w:bCs/>
          <w:sz w:val="28"/>
        </w:rPr>
        <w:t>Meeting</w:t>
      </w:r>
      <w:r w:rsidRPr="00E53BBA">
        <w:rPr>
          <w:rFonts w:ascii="Arial" w:hAnsi="Arial" w:cs="Arial"/>
          <w:b/>
          <w:bCs/>
          <w:sz w:val="28"/>
        </w:rPr>
        <w:t xml:space="preserve">                         R1-16</w:t>
      </w:r>
      <w:r w:rsidR="00A1499F">
        <w:rPr>
          <w:rFonts w:ascii="Arial" w:hAnsi="Arial" w:cs="Arial"/>
          <w:b/>
          <w:bCs/>
          <w:sz w:val="28"/>
        </w:rPr>
        <w:t>1937</w:t>
      </w:r>
    </w:p>
    <w:bookmarkEnd w:id="0"/>
    <w:bookmarkEnd w:id="1"/>
    <w:p w14:paraId="55EC444B" w14:textId="77777777" w:rsidR="00D50127" w:rsidRPr="00E53BBA" w:rsidRDefault="00D50127" w:rsidP="00D50127">
      <w:pPr>
        <w:pStyle w:val="Header"/>
        <w:spacing w:before="120"/>
        <w:rPr>
          <w:rFonts w:ascii="Arial" w:hAnsi="Arial" w:cs="Arial"/>
          <w:b/>
          <w:bCs/>
          <w:sz w:val="24"/>
        </w:rPr>
      </w:pPr>
      <w:r w:rsidRPr="00E53BBA">
        <w:rPr>
          <w:rFonts w:ascii="Arial" w:hAnsi="Arial" w:cs="Arial"/>
          <w:b/>
          <w:bCs/>
          <w:sz w:val="24"/>
        </w:rPr>
        <w:t>Sophia Antipolis, France</w:t>
      </w:r>
    </w:p>
    <w:p w14:paraId="6404C850" w14:textId="77777777" w:rsidR="00D50127" w:rsidRPr="00E53BBA" w:rsidRDefault="00D50127" w:rsidP="00D50127">
      <w:pPr>
        <w:pStyle w:val="Header"/>
        <w:spacing w:before="120"/>
        <w:rPr>
          <w:rFonts w:ascii="Arial" w:hAnsi="Arial" w:cs="Arial"/>
          <w:b/>
          <w:bCs/>
          <w:sz w:val="24"/>
        </w:rPr>
      </w:pPr>
      <w:r w:rsidRPr="00E53BBA">
        <w:rPr>
          <w:rFonts w:ascii="Arial" w:hAnsi="Arial" w:cs="Arial"/>
          <w:b/>
          <w:bCs/>
          <w:sz w:val="24"/>
        </w:rPr>
        <w:t>22nd - 24th March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D4975D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w:t>
      </w:r>
      <w:r w:rsidR="00D50127">
        <w:rPr>
          <w:rFonts w:ascii="Arial" w:hAnsi="Arial" w:cs="Arial"/>
          <w:snapToGrid w:val="0"/>
          <w:sz w:val="24"/>
        </w:rPr>
        <w:t>2.6</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B53F87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8785A">
        <w:rPr>
          <w:rFonts w:ascii="Arial" w:hAnsi="Arial" w:cs="Arial"/>
          <w:snapToGrid w:val="0"/>
          <w:sz w:val="24"/>
        </w:rPr>
        <w:t>Reference Signal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1F464F7F"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4E6768">
        <w:rPr>
          <w:szCs w:val="22"/>
          <w:lang w:val="en-US"/>
        </w:rPr>
        <w:t>4</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6387751" w14:textId="010B2D26" w:rsidR="004E6768" w:rsidRDefault="004E6768" w:rsidP="006A53EE">
      <w:pPr>
        <w:pStyle w:val="LGTdoc0"/>
        <w:spacing w:afterLines="0" w:after="120" w:line="240" w:lineRule="auto"/>
        <w:rPr>
          <w:szCs w:val="22"/>
          <w:lang w:val="en-US"/>
        </w:rPr>
      </w:pPr>
      <w:r w:rsidRPr="004E6768">
        <w:rPr>
          <w:szCs w:val="22"/>
          <w:highlight w:val="green"/>
          <w:lang w:val="en-US"/>
        </w:rPr>
        <w:t>Agreements:</w:t>
      </w:r>
    </w:p>
    <w:p w14:paraId="31702B6A" w14:textId="77777777" w:rsidR="004E6768" w:rsidRPr="004E6768" w:rsidRDefault="004E6768" w:rsidP="004E6768">
      <w:pPr>
        <w:widowControl/>
        <w:numPr>
          <w:ilvl w:val="0"/>
          <w:numId w:val="39"/>
        </w:numPr>
        <w:wordWrap/>
        <w:autoSpaceDE/>
        <w:autoSpaceDN/>
        <w:jc w:val="left"/>
        <w:rPr>
          <w:rFonts w:ascii="Times New Roman"/>
          <w:sz w:val="22"/>
          <w:szCs w:val="22"/>
        </w:rPr>
      </w:pPr>
      <w:r w:rsidRPr="004E6768">
        <w:rPr>
          <w:rFonts w:ascii="Times New Roman"/>
          <w:sz w:val="22"/>
          <w:szCs w:val="22"/>
        </w:rPr>
        <w:t>NB-RS uses a cell-specific frequency shift derived as NB-IoT Cell ID mod 6</w:t>
      </w:r>
    </w:p>
    <w:p w14:paraId="373E5414" w14:textId="77777777" w:rsidR="004E6768" w:rsidRPr="004E6768" w:rsidRDefault="004E6768" w:rsidP="004E6768">
      <w:pPr>
        <w:widowControl/>
        <w:numPr>
          <w:ilvl w:val="0"/>
          <w:numId w:val="39"/>
        </w:numPr>
        <w:wordWrap/>
        <w:autoSpaceDE/>
        <w:autoSpaceDN/>
        <w:jc w:val="left"/>
        <w:rPr>
          <w:rFonts w:ascii="Times New Roman"/>
          <w:sz w:val="22"/>
          <w:szCs w:val="22"/>
        </w:rPr>
      </w:pPr>
      <w:r w:rsidRPr="004E6768">
        <w:rPr>
          <w:rFonts w:ascii="Times New Roman"/>
          <w:sz w:val="22"/>
          <w:szCs w:val="22"/>
        </w:rPr>
        <w:t>For NB-RS sequence, LTE CRS sequence is reused for NB-RS</w:t>
      </w:r>
    </w:p>
    <w:p w14:paraId="6D2C638C" w14:textId="77777777" w:rsidR="004E6768" w:rsidRPr="004E6768" w:rsidRDefault="004E6768" w:rsidP="004E6768">
      <w:pPr>
        <w:widowControl/>
        <w:numPr>
          <w:ilvl w:val="0"/>
          <w:numId w:val="39"/>
        </w:numPr>
        <w:wordWrap/>
        <w:autoSpaceDE/>
        <w:autoSpaceDN/>
        <w:jc w:val="left"/>
        <w:rPr>
          <w:rFonts w:ascii="Times New Roman"/>
          <w:sz w:val="22"/>
          <w:szCs w:val="22"/>
        </w:rPr>
      </w:pPr>
      <w:r w:rsidRPr="004E6768">
        <w:rPr>
          <w:rFonts w:ascii="Times New Roman"/>
          <w:sz w:val="22"/>
          <w:szCs w:val="22"/>
        </w:rPr>
        <w:t xml:space="preserve">Centre of LTE CRS sequence is used as NB-RS sequence for all PRBs </w:t>
      </w:r>
    </w:p>
    <w:p w14:paraId="5AF3DB5B" w14:textId="77777777" w:rsidR="004E6768" w:rsidRPr="004E6768" w:rsidRDefault="004E6768" w:rsidP="004E6768">
      <w:pPr>
        <w:widowControl/>
        <w:numPr>
          <w:ilvl w:val="0"/>
          <w:numId w:val="39"/>
        </w:numPr>
        <w:wordWrap/>
        <w:autoSpaceDE/>
        <w:autoSpaceDN/>
        <w:jc w:val="left"/>
        <w:rPr>
          <w:rFonts w:ascii="Times New Roman"/>
          <w:sz w:val="22"/>
          <w:szCs w:val="22"/>
          <w:highlight w:val="darkYellow"/>
        </w:rPr>
      </w:pPr>
      <w:r w:rsidRPr="004E6768">
        <w:rPr>
          <w:rFonts w:ascii="Times New Roman"/>
          <w:sz w:val="22"/>
          <w:szCs w:val="22"/>
          <w:highlight w:val="darkYellow"/>
        </w:rPr>
        <w:t>Working assumption:</w:t>
      </w:r>
    </w:p>
    <w:p w14:paraId="583328AB" w14:textId="77777777" w:rsidR="004E6768" w:rsidRPr="004E6768" w:rsidRDefault="004E6768" w:rsidP="004E6768">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eastAsia="Batang" w:hAnsi="Times New Roman" w:cs="Times New Roman"/>
          <w:kern w:val="2"/>
          <w:sz w:val="22"/>
          <w:szCs w:val="22"/>
        </w:rPr>
      </w:pPr>
      <w:r w:rsidRPr="004E6768">
        <w:rPr>
          <w:rFonts w:ascii="Times New Roman" w:eastAsia="Batang" w:hAnsi="Times New Roman" w:cs="Times New Roman"/>
          <w:kern w:val="2"/>
          <w:sz w:val="22"/>
          <w:szCs w:val="22"/>
        </w:rPr>
        <w:t>LTE CRS is not precluded for an NB-IoT UE to use for DL demodulation and/or measurements for the cases when the number of antenna ports for LTE CRS and NB-RS is the same and takes a value of either 1 or 2.</w:t>
      </w:r>
    </w:p>
    <w:p w14:paraId="3DAC1691" w14:textId="77777777" w:rsidR="004E6768" w:rsidRPr="004E6768" w:rsidRDefault="004E6768" w:rsidP="004E6768">
      <w:pPr>
        <w:widowControl/>
        <w:numPr>
          <w:ilvl w:val="0"/>
          <w:numId w:val="39"/>
        </w:numPr>
        <w:wordWrap/>
        <w:autoSpaceDE/>
        <w:autoSpaceDN/>
        <w:jc w:val="left"/>
        <w:rPr>
          <w:rFonts w:ascii="Times New Roman"/>
          <w:sz w:val="22"/>
          <w:szCs w:val="22"/>
        </w:rPr>
      </w:pPr>
      <w:r w:rsidRPr="004E6768">
        <w:rPr>
          <w:rFonts w:ascii="Times New Roman"/>
          <w:sz w:val="22"/>
          <w:szCs w:val="22"/>
        </w:rPr>
        <w:t>When the same-PCI indicator is set to true</w:t>
      </w:r>
    </w:p>
    <w:p w14:paraId="0DEA887A" w14:textId="77777777" w:rsidR="004E6768" w:rsidRPr="004E6768" w:rsidRDefault="004E6768" w:rsidP="004E6768">
      <w:pPr>
        <w:widowControl/>
        <w:numPr>
          <w:ilvl w:val="1"/>
          <w:numId w:val="39"/>
        </w:numPr>
        <w:wordWrap/>
        <w:autoSpaceDE/>
        <w:autoSpaceDN/>
        <w:jc w:val="left"/>
        <w:rPr>
          <w:rFonts w:ascii="Times New Roman"/>
          <w:sz w:val="22"/>
          <w:szCs w:val="22"/>
        </w:rPr>
      </w:pPr>
      <w:r w:rsidRPr="004E6768">
        <w:rPr>
          <w:rFonts w:ascii="Times New Roman"/>
          <w:sz w:val="22"/>
          <w:szCs w:val="22"/>
        </w:rPr>
        <w:lastRenderedPageBreak/>
        <w:t xml:space="preserve">The UE may assume that cell ID is identical for NB-IoT and LTE,  </w:t>
      </w:r>
    </w:p>
    <w:p w14:paraId="798274F4" w14:textId="77777777" w:rsidR="004E6768" w:rsidRPr="004E6768" w:rsidRDefault="004E6768" w:rsidP="004E6768">
      <w:pPr>
        <w:widowControl/>
        <w:numPr>
          <w:ilvl w:val="1"/>
          <w:numId w:val="39"/>
        </w:numPr>
        <w:wordWrap/>
        <w:autoSpaceDE/>
        <w:autoSpaceDN/>
        <w:jc w:val="left"/>
        <w:rPr>
          <w:rFonts w:ascii="Times New Roman"/>
          <w:sz w:val="22"/>
          <w:szCs w:val="22"/>
        </w:rPr>
      </w:pPr>
      <w:r w:rsidRPr="004E6768">
        <w:rPr>
          <w:rFonts w:ascii="Times New Roman"/>
          <w:sz w:val="22"/>
          <w:szCs w:val="22"/>
        </w:rPr>
        <w:t>The UE may assume that the number of antenna ports is the same for LTE CRS as for NB-RS</w:t>
      </w:r>
    </w:p>
    <w:p w14:paraId="1CCD9D2B" w14:textId="77777777" w:rsidR="004E6768" w:rsidRPr="004E6768" w:rsidRDefault="004E6768" w:rsidP="004E6768">
      <w:pPr>
        <w:widowControl/>
        <w:numPr>
          <w:ilvl w:val="1"/>
          <w:numId w:val="39"/>
        </w:numPr>
        <w:wordWrap/>
        <w:autoSpaceDE/>
        <w:autoSpaceDN/>
        <w:jc w:val="left"/>
        <w:rPr>
          <w:rFonts w:ascii="Times New Roman"/>
          <w:sz w:val="22"/>
          <w:szCs w:val="22"/>
        </w:rPr>
      </w:pPr>
      <w:r w:rsidRPr="004E6768">
        <w:rPr>
          <w:rFonts w:ascii="Times New Roman"/>
          <w:sz w:val="22"/>
          <w:szCs w:val="22"/>
        </w:rPr>
        <w:t>The UE may assume that the channel can be inferred from both NB-RS and LTE CRS</w:t>
      </w:r>
    </w:p>
    <w:p w14:paraId="17133D16" w14:textId="77777777" w:rsidR="004E6768" w:rsidRPr="004E6768" w:rsidRDefault="004E6768" w:rsidP="004E6768">
      <w:pPr>
        <w:widowControl/>
        <w:numPr>
          <w:ilvl w:val="2"/>
          <w:numId w:val="39"/>
        </w:numPr>
        <w:wordWrap/>
        <w:autoSpaceDE/>
        <w:autoSpaceDN/>
        <w:jc w:val="left"/>
        <w:rPr>
          <w:rFonts w:ascii="Times New Roman"/>
          <w:sz w:val="22"/>
          <w:szCs w:val="22"/>
        </w:rPr>
      </w:pPr>
      <w:r w:rsidRPr="004E6768">
        <w:rPr>
          <w:rFonts w:ascii="Times New Roman"/>
          <w:sz w:val="22"/>
          <w:szCs w:val="22"/>
        </w:rPr>
        <w:t>LTE CRS port 0 is associated with NB-RS port 0 and LTE CRS port 1 is associated with NB-RS port 1</w:t>
      </w:r>
    </w:p>
    <w:p w14:paraId="581B2CE3" w14:textId="77777777" w:rsidR="004E6768" w:rsidRPr="004E6768" w:rsidRDefault="004E6768" w:rsidP="004E6768">
      <w:pPr>
        <w:widowControl/>
        <w:numPr>
          <w:ilvl w:val="1"/>
          <w:numId w:val="39"/>
        </w:numPr>
        <w:wordWrap/>
        <w:autoSpaceDE/>
        <w:autoSpaceDN/>
        <w:jc w:val="left"/>
        <w:rPr>
          <w:rFonts w:ascii="Times New Roman"/>
          <w:sz w:val="22"/>
          <w:szCs w:val="22"/>
        </w:rPr>
      </w:pPr>
      <w:r w:rsidRPr="004E6768">
        <w:rPr>
          <w:rFonts w:ascii="Times New Roman"/>
          <w:sz w:val="22"/>
          <w:szCs w:val="22"/>
        </w:rPr>
        <w:t>The UE may assume LTE CRS are available in the NB-IoT PRB in all subframes where NB-RS are available</w:t>
      </w:r>
    </w:p>
    <w:p w14:paraId="2595EDA3" w14:textId="77777777" w:rsidR="004E6768" w:rsidRPr="004E6768" w:rsidRDefault="004E6768" w:rsidP="004E6768">
      <w:pPr>
        <w:widowControl/>
        <w:numPr>
          <w:ilvl w:val="0"/>
          <w:numId w:val="39"/>
        </w:numPr>
        <w:wordWrap/>
        <w:autoSpaceDE/>
        <w:autoSpaceDN/>
        <w:jc w:val="left"/>
        <w:rPr>
          <w:rFonts w:ascii="Times New Roman"/>
          <w:sz w:val="22"/>
          <w:szCs w:val="22"/>
        </w:rPr>
      </w:pPr>
      <w:r w:rsidRPr="004E6768">
        <w:rPr>
          <w:rFonts w:ascii="Times New Roman"/>
          <w:sz w:val="22"/>
          <w:szCs w:val="22"/>
        </w:rPr>
        <w:t>When the same-PCI indicator is set to false</w:t>
      </w:r>
    </w:p>
    <w:p w14:paraId="401F5A50" w14:textId="301BAAC3" w:rsidR="005107DF" w:rsidRPr="004E6768" w:rsidRDefault="004E6768" w:rsidP="004E6768">
      <w:pPr>
        <w:pStyle w:val="LGTdoc0"/>
        <w:numPr>
          <w:ilvl w:val="1"/>
          <w:numId w:val="39"/>
        </w:numPr>
        <w:spacing w:afterLines="0" w:after="120" w:line="240" w:lineRule="auto"/>
        <w:rPr>
          <w:szCs w:val="22"/>
          <w:lang w:val="en-US"/>
        </w:rPr>
      </w:pPr>
      <w:r w:rsidRPr="008C73AF">
        <w:rPr>
          <w:rFonts w:ascii="Times" w:eastAsia="MS Mincho" w:hAnsi="Times" w:cs="Times"/>
          <w:lang w:val="en-US" w:eastAsia="ja-JP"/>
        </w:rPr>
        <w:t>The UE shall make no assumption on the LTE CRS except for the RE locations for rate matching</w:t>
      </w:r>
    </w:p>
    <w:p w14:paraId="47C372E6" w14:textId="77777777" w:rsidR="004E6768" w:rsidRPr="005107DF" w:rsidRDefault="004E6768" w:rsidP="004E6768">
      <w:pPr>
        <w:pStyle w:val="LGTdoc0"/>
        <w:spacing w:afterLines="0" w:after="120" w:line="240" w:lineRule="auto"/>
        <w:ind w:left="1440"/>
        <w:rPr>
          <w:szCs w:val="22"/>
          <w:lang w:val="en-US"/>
        </w:rPr>
      </w:pPr>
    </w:p>
    <w:p w14:paraId="0DD87E91" w14:textId="0DDC7A50"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w:t>
      </w:r>
      <w:r w:rsidR="0038785A">
        <w:rPr>
          <w:rFonts w:ascii="Arial" w:hAnsi="Arial" w:cs="Arial"/>
          <w:lang w:val="en-US"/>
        </w:rPr>
        <w:t>-IoT Reference Signals</w:t>
      </w:r>
    </w:p>
    <w:p w14:paraId="3E1ECFFF" w14:textId="23609396" w:rsidR="00B33780" w:rsidRDefault="004E6768" w:rsidP="0038785A">
      <w:pPr>
        <w:pStyle w:val="LGTdoc1"/>
        <w:spacing w:beforeLines="0" w:before="120" w:after="220" w:afterAutospacing="0"/>
        <w:rPr>
          <w:b w:val="0"/>
          <w:sz w:val="22"/>
          <w:szCs w:val="22"/>
          <w:lang w:val="en-US"/>
        </w:rPr>
      </w:pPr>
      <w:r>
        <w:rPr>
          <w:b w:val="0"/>
          <w:sz w:val="22"/>
          <w:szCs w:val="22"/>
          <w:lang w:val="en-US"/>
        </w:rPr>
        <w:t>It</w:t>
      </w:r>
      <w:r w:rsidR="00464483">
        <w:rPr>
          <w:b w:val="0"/>
          <w:sz w:val="22"/>
          <w:szCs w:val="22"/>
          <w:lang w:val="en-US"/>
        </w:rPr>
        <w:t xml:space="preserve"> would be beneficial to enable the use of wideband CRS as additional pilots for channel estimation and tracking in in-band deployments. The presence of additional reference signals can increase the channel estimation accuracy, which is especially important in low SNR environments like the ones expected in NB-IoT in-band deployments. As the NB-CRS and wideband CRS might have different PSD, the power difference between these two can be explicitly signaled in some broadcast channel (e.g. SIB) or can be blindly estimated by the UE.</w:t>
      </w:r>
      <w:r w:rsidR="00D26825">
        <w:rPr>
          <w:b w:val="0"/>
          <w:sz w:val="22"/>
          <w:szCs w:val="22"/>
          <w:lang w:val="en-US"/>
        </w:rPr>
        <w:t xml:space="preserve"> The CRS information should be available as soon as possible (e.g. in MIB) to enable improved frequency tracking and channel estimation for system information.</w:t>
      </w:r>
      <w:r w:rsidR="00464483">
        <w:rPr>
          <w:b w:val="0"/>
          <w:sz w:val="22"/>
          <w:szCs w:val="22"/>
          <w:lang w:val="en-US"/>
        </w:rPr>
        <w:t xml:space="preserve"> </w:t>
      </w:r>
      <w:r>
        <w:rPr>
          <w:b w:val="0"/>
          <w:sz w:val="22"/>
          <w:szCs w:val="22"/>
          <w:lang w:val="en-US"/>
        </w:rPr>
        <w:t>In our companion contribution [1], we propose a mechanism to signal the CRS sequence in MIB.</w:t>
      </w:r>
    </w:p>
    <w:bookmarkEnd w:id="2"/>
    <w:bookmarkEnd w:id="3"/>
    <w:p w14:paraId="3E34B2C0" w14:textId="2BED80F5" w:rsidR="001D4A55" w:rsidRDefault="0038785A" w:rsidP="0052060A">
      <w:pPr>
        <w:pStyle w:val="LGTdoc1"/>
        <w:spacing w:beforeLines="0" w:before="120" w:after="220" w:afterAutospacing="0"/>
        <w:rPr>
          <w:b w:val="0"/>
          <w:sz w:val="22"/>
          <w:szCs w:val="22"/>
          <w:lang w:val="en-US"/>
        </w:rPr>
      </w:pPr>
      <w:r w:rsidRPr="00173008">
        <w:rPr>
          <w:sz w:val="22"/>
          <w:szCs w:val="22"/>
          <w:u w:val="single"/>
          <w:lang w:val="en-US"/>
        </w:rPr>
        <w:lastRenderedPageBreak/>
        <w:t xml:space="preserve">Proposal </w:t>
      </w:r>
      <w:r w:rsidR="00161837">
        <w:rPr>
          <w:sz w:val="22"/>
          <w:szCs w:val="22"/>
          <w:u w:val="single"/>
          <w:lang w:val="en-US"/>
        </w:rPr>
        <w:t>1</w:t>
      </w:r>
      <w:r w:rsidRPr="00173008">
        <w:rPr>
          <w:sz w:val="22"/>
          <w:szCs w:val="22"/>
          <w:u w:val="single"/>
          <w:lang w:val="en-US"/>
        </w:rPr>
        <w:t>:</w:t>
      </w:r>
      <w:r>
        <w:rPr>
          <w:b w:val="0"/>
          <w:sz w:val="22"/>
          <w:szCs w:val="22"/>
          <w:u w:val="single"/>
          <w:lang w:val="en-US"/>
        </w:rPr>
        <w:t xml:space="preserve"> </w:t>
      </w:r>
      <w:r>
        <w:rPr>
          <w:b w:val="0"/>
          <w:sz w:val="22"/>
          <w:szCs w:val="22"/>
          <w:lang w:val="en-US"/>
        </w:rPr>
        <w:t>Enable the possibility of using legacy CRS for channel esti</w:t>
      </w:r>
      <w:r w:rsidR="00245B8D">
        <w:rPr>
          <w:b w:val="0"/>
          <w:sz w:val="22"/>
          <w:szCs w:val="22"/>
          <w:lang w:val="en-US"/>
        </w:rPr>
        <w:t>mation in in-band deployments by signaling the CRS information in MIB.</w:t>
      </w:r>
    </w:p>
    <w:p w14:paraId="60C51BB4" w14:textId="22DB7425" w:rsidR="0038785A" w:rsidRDefault="00816A95" w:rsidP="0052060A">
      <w:pPr>
        <w:pStyle w:val="LGTdoc1"/>
        <w:spacing w:beforeLines="0" w:before="120" w:after="220" w:afterAutospacing="0"/>
        <w:rPr>
          <w:b w:val="0"/>
          <w:sz w:val="22"/>
          <w:szCs w:val="22"/>
          <w:lang w:val="en-US"/>
        </w:rPr>
      </w:pPr>
      <w:r>
        <w:rPr>
          <w:b w:val="0"/>
          <w:sz w:val="22"/>
          <w:szCs w:val="22"/>
          <w:lang w:val="en-US"/>
        </w:rPr>
        <w:t xml:space="preserve">When reusing the legacy CRS, there has to be some predefined mapping between the CRS antenna ports and NB-CRS antenna ports. For example, for the case of two DL tx antennas, </w:t>
      </w:r>
      <w:r w:rsidR="00F55A00">
        <w:rPr>
          <w:b w:val="0"/>
          <w:sz w:val="22"/>
          <w:szCs w:val="22"/>
          <w:lang w:val="en-US"/>
        </w:rPr>
        <w:t>two new ports NB-0 and NB-1 can be fixed to be the same as CRS port 0 and port 1 (up to a scaling value). For in-band deployments with 4 CRS ports, however, this mapping can be more complicated for several reasons:</w:t>
      </w:r>
    </w:p>
    <w:p w14:paraId="6176BA71" w14:textId="7C9064AB"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NB-IoT uses a maximum of 2 DL tx antennas. Supporting 4 DL tx antennas would require increasing the number of NB-CRS tones. Also, this additional degree of diversity will only be beneficial in a limited number of cases (e.g. high SNR).</w:t>
      </w:r>
    </w:p>
    <w:p w14:paraId="4CE8083A" w14:textId="1902BB19"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 xml:space="preserve">Even when the NB-IoT system uses only 2 DL antenna ports, it would be beneficial for the eNB to use the 4 physical antennas for transmission. </w:t>
      </w:r>
      <w:r w:rsidR="00B37E24">
        <w:rPr>
          <w:b w:val="0"/>
          <w:sz w:val="22"/>
          <w:szCs w:val="22"/>
          <w:lang w:val="en-US"/>
        </w:rPr>
        <w:t xml:space="preserve">The eNB can typically transmit full power signal only if all existing ports participate in the data transmission. </w:t>
      </w:r>
    </w:p>
    <w:p w14:paraId="69AC4781" w14:textId="77777777" w:rsidR="00161837" w:rsidRDefault="00161837" w:rsidP="00161837">
      <w:pPr>
        <w:pStyle w:val="LGTdoc1"/>
        <w:spacing w:beforeLines="0" w:before="120" w:after="220" w:afterAutospacing="0"/>
        <w:rPr>
          <w:b w:val="0"/>
          <w:sz w:val="22"/>
          <w:szCs w:val="22"/>
          <w:lang w:val="en-US"/>
        </w:rPr>
      </w:pPr>
      <w:r>
        <w:rPr>
          <w:b w:val="0"/>
          <w:sz w:val="22"/>
          <w:szCs w:val="22"/>
          <w:lang w:val="en-US"/>
        </w:rPr>
        <w:t xml:space="preserve">With the current agreements it is not possible to have an eNB operating with 4Tx antennas transmitting at maximum Tx power and enabling CRS channel estimation. The agreement in RAN#84 sets a one to one mapping between NB-RS and CRS ports, so effectively we cannot enable CRS channel estimation in a 4Tx antenna eNB unless we transmit only from antennas 0 and 1, which in turn decreases the total transmit power dedicated to NB-IoT.  </w:t>
      </w:r>
    </w:p>
    <w:p w14:paraId="5B473BBE" w14:textId="14EFFFFB" w:rsidR="00963BD6" w:rsidRDefault="00963BD6" w:rsidP="00963BD6">
      <w:pPr>
        <w:pStyle w:val="LGTdoc1"/>
        <w:spacing w:beforeLines="0" w:before="120" w:after="220" w:afterAutospacing="0"/>
        <w:rPr>
          <w:b w:val="0"/>
          <w:sz w:val="22"/>
          <w:szCs w:val="22"/>
          <w:lang w:val="en-US"/>
        </w:rPr>
      </w:pPr>
      <w:r>
        <w:rPr>
          <w:b w:val="0"/>
          <w:sz w:val="22"/>
          <w:szCs w:val="22"/>
          <w:lang w:val="en-US"/>
        </w:rPr>
        <w:t xml:space="preserve">For these reasons, we propose to use </w:t>
      </w:r>
      <w:r>
        <w:rPr>
          <w:b w:val="0"/>
          <w:i/>
          <w:sz w:val="22"/>
          <w:szCs w:val="22"/>
          <w:lang w:val="en-US"/>
        </w:rPr>
        <w:t>antenna port virtualization</w:t>
      </w:r>
      <w:r>
        <w:rPr>
          <w:b w:val="0"/>
          <w:sz w:val="22"/>
          <w:szCs w:val="22"/>
          <w:lang w:val="en-US"/>
        </w:rPr>
        <w:t xml:space="preserve"> for the case of having 4 DL tx antennas. For example, NB-CRS antenna port 0 can be transmitted over the CRS antenna ports 0 and 2, and NB-CRS port 1 over CRS AP 1 and 3 (see Figure 1 for an example). </w:t>
      </w:r>
      <w:r>
        <w:rPr>
          <w:b w:val="0"/>
          <w:sz w:val="22"/>
          <w:szCs w:val="22"/>
          <w:lang w:val="en-US"/>
        </w:rPr>
        <w:lastRenderedPageBreak/>
        <w:t xml:space="preserve">With this approach, the eNB can transmit with full power, and the NB-IoT UE can use all the CRS tones for channel estimation. Note that the precoders </w:t>
      </w:r>
      <w:r>
        <w:rPr>
          <w:b w:val="0"/>
          <w:i/>
          <w:sz w:val="22"/>
          <w:szCs w:val="22"/>
          <w:lang w:val="en-US"/>
        </w:rPr>
        <w:t>w</w:t>
      </w:r>
      <w:r>
        <w:rPr>
          <w:b w:val="0"/>
          <w:sz w:val="22"/>
          <w:szCs w:val="22"/>
          <w:lang w:val="en-US"/>
        </w:rPr>
        <w:t xml:space="preserve"> in Figure 1 need to be known by the UE to perform this channel estimation. They can be fixed in the spec or signaled in a broadcast channel (e.g. SIB).</w:t>
      </w:r>
    </w:p>
    <w:p w14:paraId="56CBD545" w14:textId="56753791" w:rsidR="00963BD6" w:rsidRPr="00337FF9" w:rsidRDefault="00963BD6" w:rsidP="00963BD6">
      <w:pPr>
        <w:pStyle w:val="LGTdoc1"/>
        <w:spacing w:beforeLines="0" w:before="120" w:after="220" w:afterAutospacing="0"/>
        <w:rPr>
          <w:b w:val="0"/>
          <w:sz w:val="22"/>
          <w:szCs w:val="22"/>
        </w:rPr>
      </w:pPr>
      <w:r w:rsidRPr="00173008">
        <w:rPr>
          <w:sz w:val="22"/>
          <w:szCs w:val="22"/>
          <w:u w:val="single"/>
          <w:lang w:val="en-US"/>
        </w:rPr>
        <w:t xml:space="preserve">Proposal </w:t>
      </w:r>
      <w:r w:rsidR="00291337">
        <w:rPr>
          <w:sz w:val="22"/>
          <w:szCs w:val="22"/>
          <w:u w:val="single"/>
          <w:lang w:val="en-US"/>
        </w:rPr>
        <w:t>2</w:t>
      </w:r>
      <w:r w:rsidRPr="00173008">
        <w:rPr>
          <w:sz w:val="22"/>
          <w:szCs w:val="22"/>
          <w:u w:val="single"/>
          <w:lang w:val="en-US"/>
        </w:rPr>
        <w:t>:</w:t>
      </w:r>
      <w:r>
        <w:rPr>
          <w:b w:val="0"/>
          <w:sz w:val="22"/>
          <w:szCs w:val="22"/>
          <w:lang w:val="en-US"/>
        </w:rPr>
        <w:t xml:space="preserve"> For in-band deployment with 4 Tx antennas, the 4</w:t>
      </w:r>
      <w:r w:rsidR="00161837">
        <w:rPr>
          <w:b w:val="0"/>
          <w:sz w:val="22"/>
          <w:szCs w:val="22"/>
          <w:lang w:val="en-US"/>
        </w:rPr>
        <w:t xml:space="preserve"> CRS</w:t>
      </w:r>
      <w:r>
        <w:rPr>
          <w:b w:val="0"/>
          <w:sz w:val="22"/>
          <w:szCs w:val="22"/>
          <w:lang w:val="en-US"/>
        </w:rPr>
        <w:t xml:space="preserve"> ports are </w:t>
      </w:r>
      <w:r>
        <w:rPr>
          <w:b w:val="0"/>
          <w:i/>
          <w:sz w:val="22"/>
          <w:szCs w:val="22"/>
          <w:lang w:val="en-US"/>
        </w:rPr>
        <w:t>virtualized</w:t>
      </w:r>
      <w:r w:rsidR="00161837">
        <w:rPr>
          <w:b w:val="0"/>
          <w:sz w:val="22"/>
          <w:szCs w:val="22"/>
          <w:lang w:val="en-US"/>
        </w:rPr>
        <w:t xml:space="preserve"> to 2 NB-RS</w:t>
      </w:r>
      <w:r>
        <w:rPr>
          <w:b w:val="0"/>
          <w:sz w:val="22"/>
          <w:szCs w:val="22"/>
          <w:lang w:val="en-US"/>
        </w:rPr>
        <w:t xml:space="preserve"> antenna ports.</w:t>
      </w:r>
    </w:p>
    <w:p w14:paraId="5BB5749B" w14:textId="77777777" w:rsidR="00963BD6" w:rsidRPr="00963BD6" w:rsidRDefault="00963BD6" w:rsidP="00963BD6">
      <w:pPr>
        <w:pStyle w:val="LGTdoc1"/>
        <w:spacing w:beforeLines="0" w:before="120" w:after="220" w:afterAutospacing="0"/>
        <w:rPr>
          <w:b w:val="0"/>
          <w:sz w:val="22"/>
          <w:szCs w:val="22"/>
        </w:rPr>
      </w:pPr>
    </w:p>
    <w:p w14:paraId="1F816238" w14:textId="7246F0E5" w:rsidR="00963BD6" w:rsidRDefault="00963BD6" w:rsidP="00963BD6">
      <w:pPr>
        <w:pStyle w:val="LGTdoc1"/>
        <w:keepNext/>
        <w:spacing w:beforeLines="0" w:before="120" w:after="220" w:afterAutospacing="0"/>
        <w:jc w:val="center"/>
      </w:pPr>
      <w:r w:rsidRPr="00791823">
        <w:rPr>
          <w:sz w:val="22"/>
          <w:szCs w:val="22"/>
          <w:lang w:val="en-US"/>
        </w:rPr>
        <w:object w:dxaOrig="11595" w:dyaOrig="13737" w14:anchorId="622B4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345pt" o:ole="">
            <v:imagedata r:id="rId14" o:title=""/>
          </v:shape>
          <o:OLEObject Type="Embed" ProgID="Visio.Drawing.11" ShapeID="_x0000_i1025" DrawAspect="Content" ObjectID="_1519565659" r:id="rId15"/>
        </w:object>
      </w:r>
    </w:p>
    <w:p w14:paraId="16D838C0" w14:textId="563A1AF3" w:rsidR="00963BD6" w:rsidRDefault="00963BD6" w:rsidP="00963BD6">
      <w:pPr>
        <w:pStyle w:val="Caption"/>
        <w:jc w:val="center"/>
        <w:rPr>
          <w:b w:val="0"/>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Virtualization of NB-CRS ports over wideband CRS ports</w:t>
      </w:r>
    </w:p>
    <w:p w14:paraId="688A3C08" w14:textId="59DD1824" w:rsidR="0038785A" w:rsidRDefault="0038785A" w:rsidP="00963BD6">
      <w:pPr>
        <w:pStyle w:val="LGTdoc1"/>
        <w:spacing w:beforeLines="0" w:before="120" w:after="220" w:afterAutospacing="0"/>
        <w:rPr>
          <w:b w:val="0"/>
          <w:sz w:val="22"/>
          <w:szCs w:val="22"/>
        </w:rPr>
      </w:pPr>
    </w:p>
    <w:p w14:paraId="40957E6C" w14:textId="0DCA736F" w:rsidR="004E6768" w:rsidRPr="005107DF" w:rsidRDefault="004E6768" w:rsidP="00161837">
      <w:pPr>
        <w:pStyle w:val="LGTdoc0"/>
        <w:spacing w:afterLines="0" w:after="120" w:line="240" w:lineRule="auto"/>
        <w:rPr>
          <w:szCs w:val="22"/>
          <w:lang w:val="en-US"/>
        </w:rPr>
      </w:pPr>
    </w:p>
    <w:p w14:paraId="1A98B8A8" w14:textId="0DCA736F" w:rsidR="004E6768" w:rsidRDefault="004E6768" w:rsidP="004E676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 of proposals</w:t>
      </w:r>
    </w:p>
    <w:p w14:paraId="5BBDB3A3" w14:textId="77777777" w:rsidR="00245B8D" w:rsidRDefault="00245B8D" w:rsidP="00245B8D">
      <w:pPr>
        <w:pStyle w:val="LGTdoc1"/>
        <w:spacing w:beforeLines="0" w:before="120" w:after="220" w:afterAutospacing="0"/>
        <w:rPr>
          <w:b w:val="0"/>
          <w:sz w:val="22"/>
          <w:szCs w:val="22"/>
          <w:lang w:val="en-US"/>
        </w:rPr>
      </w:pPr>
      <w:r w:rsidRPr="00173008">
        <w:rPr>
          <w:sz w:val="22"/>
          <w:szCs w:val="22"/>
          <w:u w:val="single"/>
          <w:lang w:val="en-US"/>
        </w:rPr>
        <w:lastRenderedPageBreak/>
        <w:t xml:space="preserve">Proposal </w:t>
      </w:r>
      <w:r>
        <w:rPr>
          <w:sz w:val="22"/>
          <w:szCs w:val="22"/>
          <w:u w:val="single"/>
          <w:lang w:val="en-US"/>
        </w:rPr>
        <w:t>1</w:t>
      </w:r>
      <w:r w:rsidRPr="00173008">
        <w:rPr>
          <w:sz w:val="22"/>
          <w:szCs w:val="22"/>
          <w:u w:val="single"/>
          <w:lang w:val="en-US"/>
        </w:rPr>
        <w:t>:</w:t>
      </w:r>
      <w:r>
        <w:rPr>
          <w:b w:val="0"/>
          <w:sz w:val="22"/>
          <w:szCs w:val="22"/>
          <w:u w:val="single"/>
          <w:lang w:val="en-US"/>
        </w:rPr>
        <w:t xml:space="preserve"> </w:t>
      </w:r>
      <w:r>
        <w:rPr>
          <w:b w:val="0"/>
          <w:sz w:val="22"/>
          <w:szCs w:val="22"/>
          <w:lang w:val="en-US"/>
        </w:rPr>
        <w:t>Enable the possibility of using legacy CRS for channel estimation in in-band deployments by signaling the CRS information in MIB.</w:t>
      </w:r>
    </w:p>
    <w:p w14:paraId="1CC91654" w14:textId="5FF0CAF5" w:rsidR="00161837" w:rsidRPr="00337FF9" w:rsidRDefault="00161837" w:rsidP="00245B8D">
      <w:pPr>
        <w:pStyle w:val="LGTdoc1"/>
        <w:spacing w:beforeLines="0" w:before="120" w:after="220" w:afterAutospacing="0"/>
        <w:rPr>
          <w:b w:val="0"/>
          <w:sz w:val="22"/>
          <w:szCs w:val="22"/>
        </w:rPr>
      </w:pPr>
      <w:bookmarkStart w:id="4" w:name="_GoBack"/>
      <w:bookmarkEnd w:id="4"/>
      <w:r w:rsidRPr="00173008">
        <w:rPr>
          <w:sz w:val="22"/>
          <w:szCs w:val="22"/>
          <w:u w:val="single"/>
          <w:lang w:val="en-US"/>
        </w:rPr>
        <w:t xml:space="preserve">Proposal </w:t>
      </w:r>
      <w:r>
        <w:rPr>
          <w:sz w:val="22"/>
          <w:szCs w:val="22"/>
          <w:u w:val="single"/>
          <w:lang w:val="en-US"/>
        </w:rPr>
        <w:t>2</w:t>
      </w:r>
      <w:r w:rsidRPr="00173008">
        <w:rPr>
          <w:sz w:val="22"/>
          <w:szCs w:val="22"/>
          <w:u w:val="single"/>
          <w:lang w:val="en-US"/>
        </w:rPr>
        <w:t>:</w:t>
      </w:r>
      <w:r>
        <w:rPr>
          <w:b w:val="0"/>
          <w:sz w:val="22"/>
          <w:szCs w:val="22"/>
          <w:lang w:val="en-US"/>
        </w:rPr>
        <w:t xml:space="preserve"> For in-band deployment with 4 Tx antennas, the 4 CRS ports are </w:t>
      </w:r>
      <w:r>
        <w:rPr>
          <w:b w:val="0"/>
          <w:i/>
          <w:sz w:val="22"/>
          <w:szCs w:val="22"/>
          <w:lang w:val="en-US"/>
        </w:rPr>
        <w:t>virtualized</w:t>
      </w:r>
      <w:r>
        <w:rPr>
          <w:b w:val="0"/>
          <w:sz w:val="22"/>
          <w:szCs w:val="22"/>
          <w:lang w:val="en-US"/>
        </w:rPr>
        <w:t xml:space="preserve"> to 2 NB-RS antenna ports.</w:t>
      </w:r>
    </w:p>
    <w:p w14:paraId="3141DC5A" w14:textId="77777777" w:rsidR="004E6768" w:rsidRPr="00245B8D" w:rsidRDefault="004E6768" w:rsidP="004E6768">
      <w:pPr>
        <w:pStyle w:val="LGTdoc1"/>
        <w:spacing w:beforeLines="0" w:before="120" w:after="220" w:afterAutospacing="0"/>
        <w:rPr>
          <w:rFonts w:ascii="Arial" w:hAnsi="Arial" w:cs="Arial"/>
          <w:lang w:val="en-US"/>
        </w:rPr>
      </w:pPr>
    </w:p>
    <w:p w14:paraId="277F9181" w14:textId="46AF3679" w:rsidR="004E6768" w:rsidRDefault="004E6768" w:rsidP="004E6768">
      <w:pPr>
        <w:pStyle w:val="LGTdoc1"/>
        <w:spacing w:beforeLines="0" w:before="120" w:after="220" w:afterAutospacing="0"/>
        <w:rPr>
          <w:rFonts w:ascii="Arial" w:hAnsi="Arial" w:cs="Arial"/>
          <w:lang w:val="en-US"/>
        </w:rPr>
      </w:pPr>
      <w:r>
        <w:rPr>
          <w:rFonts w:ascii="Arial" w:hAnsi="Arial" w:cs="Arial"/>
          <w:lang w:val="en-US"/>
        </w:rPr>
        <w:t>References</w:t>
      </w:r>
    </w:p>
    <w:p w14:paraId="563BEF8A" w14:textId="03818AF1" w:rsidR="00963BD6" w:rsidRPr="004E6768" w:rsidRDefault="004E6768" w:rsidP="00963BD6">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A1499F">
        <w:rPr>
          <w:b w:val="0"/>
          <w:sz w:val="22"/>
          <w:szCs w:val="22"/>
        </w:rPr>
        <w:t>R1-161932, “</w:t>
      </w:r>
      <w:r>
        <w:rPr>
          <w:b w:val="0"/>
          <w:sz w:val="22"/>
          <w:szCs w:val="22"/>
        </w:rPr>
        <w:t xml:space="preserve">PBCH design </w:t>
      </w:r>
      <w:r w:rsidR="00A1499F">
        <w:rPr>
          <w:b w:val="0"/>
          <w:sz w:val="22"/>
          <w:szCs w:val="22"/>
        </w:rPr>
        <w:t>“, Qualcomm Incorporated; RAN1 NB-IoT Adhoc 2016; Sophia-Antipolis, France.</w:t>
      </w:r>
    </w:p>
    <w:sectPr w:rsidR="00963BD6" w:rsidRPr="004E6768"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15895" w14:textId="77777777" w:rsidR="00FF7611" w:rsidRDefault="00FF7611">
      <w:r>
        <w:separator/>
      </w:r>
    </w:p>
  </w:endnote>
  <w:endnote w:type="continuationSeparator" w:id="0">
    <w:p w14:paraId="6972BA87" w14:textId="77777777" w:rsidR="00FF7611" w:rsidRDefault="00FF7611">
      <w:r>
        <w:continuationSeparator/>
      </w:r>
    </w:p>
  </w:endnote>
  <w:endnote w:type="continuationNotice" w:id="1">
    <w:p w14:paraId="2867E609" w14:textId="77777777" w:rsidR="00FF7611" w:rsidRDefault="00FF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1337">
      <w:rPr>
        <w:rStyle w:val="PageNumber"/>
        <w:noProof/>
      </w:rPr>
      <w:t>1</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5460B" w14:textId="77777777" w:rsidR="00FF7611" w:rsidRDefault="00FF7611">
      <w:r>
        <w:separator/>
      </w:r>
    </w:p>
  </w:footnote>
  <w:footnote w:type="continuationSeparator" w:id="0">
    <w:p w14:paraId="75E6A115" w14:textId="77777777" w:rsidR="00FF7611" w:rsidRDefault="00FF7611">
      <w:r>
        <w:continuationSeparator/>
      </w:r>
    </w:p>
  </w:footnote>
  <w:footnote w:type="continuationNotice" w:id="1">
    <w:p w14:paraId="4BA4B543" w14:textId="77777777" w:rsidR="00FF7611" w:rsidRDefault="00FF76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3"/>
  </w:num>
  <w:num w:numId="4">
    <w:abstractNumId w:val="37"/>
  </w:num>
  <w:num w:numId="5">
    <w:abstractNumId w:val="38"/>
  </w:num>
  <w:num w:numId="6">
    <w:abstractNumId w:val="28"/>
  </w:num>
  <w:num w:numId="7">
    <w:abstractNumId w:val="7"/>
  </w:num>
  <w:num w:numId="8">
    <w:abstractNumId w:val="1"/>
  </w:num>
  <w:num w:numId="9">
    <w:abstractNumId w:val="30"/>
  </w:num>
  <w:num w:numId="10">
    <w:abstractNumId w:val="17"/>
  </w:num>
  <w:num w:numId="11">
    <w:abstractNumId w:val="21"/>
  </w:num>
  <w:num w:numId="12">
    <w:abstractNumId w:val="6"/>
  </w:num>
  <w:num w:numId="13">
    <w:abstractNumId w:val="33"/>
  </w:num>
  <w:num w:numId="14">
    <w:abstractNumId w:val="22"/>
  </w:num>
  <w:num w:numId="15">
    <w:abstractNumId w:val="15"/>
  </w:num>
  <w:num w:numId="16">
    <w:abstractNumId w:val="31"/>
  </w:num>
  <w:num w:numId="17">
    <w:abstractNumId w:val="26"/>
  </w:num>
  <w:num w:numId="18">
    <w:abstractNumId w:val="20"/>
  </w:num>
  <w:num w:numId="19">
    <w:abstractNumId w:val="9"/>
  </w:num>
  <w:num w:numId="20">
    <w:abstractNumId w:val="10"/>
  </w:num>
  <w:num w:numId="21">
    <w:abstractNumId w:val="27"/>
  </w:num>
  <w:num w:numId="22">
    <w:abstractNumId w:val="2"/>
  </w:num>
  <w:num w:numId="23">
    <w:abstractNumId w:val="19"/>
  </w:num>
  <w:num w:numId="24">
    <w:abstractNumId w:val="24"/>
  </w:num>
  <w:num w:numId="25">
    <w:abstractNumId w:val="29"/>
  </w:num>
  <w:num w:numId="26">
    <w:abstractNumId w:val="5"/>
  </w:num>
  <w:num w:numId="27">
    <w:abstractNumId w:val="0"/>
  </w:num>
  <w:num w:numId="28">
    <w:abstractNumId w:val="32"/>
  </w:num>
  <w:num w:numId="29">
    <w:abstractNumId w:val="4"/>
  </w:num>
  <w:num w:numId="30">
    <w:abstractNumId w:val="34"/>
  </w:num>
  <w:num w:numId="31">
    <w:abstractNumId w:val="3"/>
  </w:num>
  <w:num w:numId="32">
    <w:abstractNumId w:val="18"/>
  </w:num>
  <w:num w:numId="33">
    <w:abstractNumId w:val="14"/>
  </w:num>
  <w:num w:numId="34">
    <w:abstractNumId w:val="35"/>
  </w:num>
  <w:num w:numId="35">
    <w:abstractNumId w:val="25"/>
  </w:num>
  <w:num w:numId="36">
    <w:abstractNumId w:val="12"/>
  </w:num>
  <w:num w:numId="37">
    <w:abstractNumId w:val="36"/>
  </w:num>
  <w:num w:numId="38">
    <w:abstractNumId w:val="16"/>
  </w:num>
  <w:num w:numId="3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37"/>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99F"/>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5ACTRJNS4X5K-3-3400</_dlc_DocId>
    <_dlc_DocIdUrl xmlns="09bf1062-b00c-4aa1-ba18-87ca9e63a56e">
      <Url>https://projects.qualcomm.com/sites/espresso/_layouts/15/DocIdRedir.aspx?ID=5ACTRJNS4X5K-3-3400</Url>
      <Description>5ACTRJNS4X5K-3-3400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830A19-64E5-446B-9851-49C5D1F18DFB}">
  <ds:schemaRefs>
    <ds:schemaRef ds:uri="http://schemas.openxmlformats.org/officeDocument/2006/bibliography"/>
  </ds:schemaRefs>
</ds:datastoreItem>
</file>

<file path=customXml/itemProps7.xml><?xml version="1.0" encoding="utf-8"?>
<ds:datastoreItem xmlns:ds="http://schemas.openxmlformats.org/officeDocument/2006/customXml" ds:itemID="{24D73B42-78D5-40A3-9532-1E051CCB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728</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20</cp:revision>
  <cp:lastPrinted>2010-08-13T21:54:00Z</cp:lastPrinted>
  <dcterms:created xsi:type="dcterms:W3CDTF">2016-01-09T01:46:00Z</dcterms:created>
  <dcterms:modified xsi:type="dcterms:W3CDTF">2016-03-15T23:48:00Z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4bde2e82-bffc-41c2-8f3f-a4578666d038</vt:lpwstr>
  </property>
</Properties>
</file>